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103</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208769</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9 </w:t>
      </w:r>
      <w:r>
        <w:rPr>
          <w:rFonts w:ascii="Arial" w:hAnsi="Arial" w:cs="Arial"/>
          <w:b/>
          <w:bCs/>
          <w:sz w:val="24"/>
          <w:szCs w:val="24"/>
        </w:rPr>
        <w:t>–</w:t>
      </w:r>
      <w:r>
        <w:rPr>
          <w:rFonts w:hint="eastAsia" w:ascii="Arial" w:hAnsi="Arial" w:eastAsia="宋体" w:cs="Arial"/>
          <w:b/>
          <w:bCs/>
          <w:sz w:val="24"/>
          <w:szCs w:val="24"/>
          <w:lang w:val="en-US" w:eastAsia="zh-CN"/>
        </w:rPr>
        <w:t xml:space="preserve"> 20</w:t>
      </w:r>
      <w:r>
        <w:rPr>
          <w:rFonts w:ascii="Arial" w:hAnsi="Arial" w:cs="Arial"/>
          <w:b/>
          <w:bCs/>
          <w:sz w:val="24"/>
          <w:szCs w:val="24"/>
        </w:rPr>
        <w:t xml:space="preserve"> Ma</w:t>
      </w:r>
      <w:r>
        <w:rPr>
          <w:rFonts w:hint="eastAsia" w:ascii="Arial" w:hAnsi="Arial" w:eastAsia="宋体" w:cs="Arial"/>
          <w:b/>
          <w:bCs/>
          <w:sz w:val="24"/>
          <w:szCs w:val="24"/>
          <w:lang w:val="en-US" w:eastAsia="zh-CN"/>
        </w:rPr>
        <w:t>y</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bookmarkStart w:id="1" w:name="_GoBack"/>
      <w:bookmarkEnd w:id="1"/>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remaining issue of Signalling characteristics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9.8.2.4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a way forward on RRM NR FR2 HST was approved in [1]:</w:t>
      </w:r>
      <w:r>
        <w:rPr>
          <w:rFonts w:hint="default" w:eastAsia="宋体"/>
          <w:color w:val="auto"/>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rFonts w:eastAsiaTheme="minorEastAsia"/>
                <w:b/>
                <w:u w:val="single"/>
                <w:lang w:val="sv-SE" w:eastAsia="zh-CN"/>
              </w:rPr>
            </w:pPr>
            <w:r>
              <w:rPr>
                <w:rFonts w:eastAsiaTheme="minorEastAsia"/>
                <w:b/>
                <w:u w:val="single"/>
                <w:lang w:val="sv-SE" w:eastAsia="zh-CN"/>
              </w:rPr>
              <w:t>TCI switching delay</w:t>
            </w:r>
          </w:p>
          <w:p>
            <w:pPr>
              <w:overflowPunct w:val="0"/>
              <w:autoSpaceDE w:val="0"/>
              <w:autoSpaceDN w:val="0"/>
              <w:adjustRightInd w:val="0"/>
              <w:ind w:leftChars="100"/>
              <w:textAlignment w:val="baseline"/>
              <w:rPr>
                <w:rFonts w:eastAsia="Yu Mincho"/>
                <w:b/>
                <w:lang w:val="en-US"/>
              </w:rPr>
            </w:pPr>
            <w:r>
              <w:rPr>
                <w:rFonts w:eastAsia="Yu Mincho"/>
                <w:b/>
                <w:highlight w:val="green"/>
                <w:lang w:val="en-US"/>
              </w:rPr>
              <w:t>GtW agreement:</w:t>
            </w:r>
          </w:p>
          <w:p>
            <w:pPr>
              <w:keepNext w:val="0"/>
              <w:keepLines w:val="0"/>
              <w:pageBreakBefore w:val="0"/>
              <w:numPr>
                <w:ilvl w:val="0"/>
                <w:numId w:val="4"/>
              </w:numPr>
              <w:kinsoku/>
              <w:wordWrap/>
              <w:overflowPunct/>
              <w:topLinePunct w:val="0"/>
              <w:autoSpaceDE/>
              <w:autoSpaceDN/>
              <w:bidi w:val="0"/>
              <w:adjustRightInd/>
              <w:snapToGrid/>
              <w:ind w:left="840" w:leftChars="0" w:hanging="420" w:firstLineChars="0"/>
              <w:textAlignment w:val="auto"/>
              <w:rPr>
                <w:rFonts w:ascii="Times New Roman" w:hAnsi="Times New Roman" w:cs="Times New Roman" w:eastAsiaTheme="minorEastAsia"/>
                <w:iCs/>
                <w:kern w:val="0"/>
                <w:sz w:val="20"/>
                <w:szCs w:val="24"/>
                <w:lang w:val="en-US" w:eastAsia="zh-CN" w:bidi="ar-SA"/>
              </w:rPr>
            </w:pPr>
            <w:r>
              <w:rPr>
                <w:rFonts w:ascii="Times New Roman" w:hAnsi="Times New Roman" w:cs="Times New Roman" w:eastAsiaTheme="minorEastAsia"/>
                <w:iCs/>
                <w:kern w:val="0"/>
                <w:sz w:val="20"/>
                <w:szCs w:val="24"/>
                <w:lang w:val="en-US" w:eastAsia="zh-CN" w:bidi="ar-SA"/>
              </w:rPr>
              <w:t>Introduce additional TCI switching delay for UE to perform fine downlink timing tracking</w:t>
            </w:r>
          </w:p>
          <w:p>
            <w:pPr>
              <w:keepNext w:val="0"/>
              <w:keepLines w:val="0"/>
              <w:pageBreakBefore w:val="0"/>
              <w:numPr>
                <w:ilvl w:val="0"/>
                <w:numId w:val="0"/>
              </w:numPr>
              <w:kinsoku/>
              <w:wordWrap/>
              <w:overflowPunct/>
              <w:topLinePunct w:val="0"/>
              <w:autoSpaceDE/>
              <w:autoSpaceDN/>
              <w:bidi w:val="0"/>
              <w:adjustRightInd/>
              <w:snapToGrid/>
              <w:ind w:left="420" w:leftChars="0"/>
              <w:textAlignment w:val="auto"/>
              <w:rPr>
                <w:rFonts w:ascii="Times New Roman" w:hAnsi="Times New Roman" w:cs="Times New Roman" w:eastAsiaTheme="minorEastAsia"/>
                <w:iCs/>
                <w:kern w:val="0"/>
                <w:sz w:val="20"/>
                <w:szCs w:val="24"/>
                <w:lang w:val="en-US" w:eastAsia="zh-CN" w:bidi="ar-SA"/>
              </w:rPr>
            </w:pPr>
          </w:p>
          <w:p>
            <w:pPr>
              <w:keepNext w:val="0"/>
              <w:keepLines w:val="0"/>
              <w:pageBreakBefore w:val="0"/>
              <w:kinsoku/>
              <w:wordWrap/>
              <w:overflowPunct/>
              <w:topLinePunct w:val="0"/>
              <w:autoSpaceDE/>
              <w:autoSpaceDN/>
              <w:bidi w:val="0"/>
              <w:adjustRightInd/>
              <w:snapToGrid/>
              <w:textAlignment w:val="auto"/>
              <w:rPr>
                <w:rFonts w:eastAsiaTheme="minorEastAsia"/>
                <w:b/>
                <w:u w:val="single"/>
                <w:lang w:val="sv-SE" w:eastAsia="zh-CN"/>
              </w:rPr>
            </w:pPr>
            <w:r>
              <w:rPr>
                <w:rFonts w:eastAsiaTheme="minorEastAsia"/>
                <w:b/>
                <w:u w:val="single"/>
                <w:lang w:val="sv-SE" w:eastAsia="zh-CN"/>
              </w:rPr>
              <w:t>Inter-symbol interference during TCI switching</w:t>
            </w:r>
          </w:p>
          <w:p>
            <w:pPr>
              <w:overflowPunct w:val="0"/>
              <w:autoSpaceDE w:val="0"/>
              <w:autoSpaceDN w:val="0"/>
              <w:adjustRightInd w:val="0"/>
              <w:ind w:leftChars="100"/>
              <w:textAlignment w:val="baseline"/>
              <w:rPr>
                <w:rFonts w:eastAsia="Yu Mincho"/>
                <w:b/>
                <w:highlight w:val="green"/>
                <w:lang w:val="en-US"/>
              </w:rPr>
            </w:pPr>
            <w:r>
              <w:rPr>
                <w:rFonts w:eastAsia="Yu Mincho"/>
                <w:b/>
                <w:highlight w:val="green"/>
                <w:lang w:val="en-US"/>
              </w:rPr>
              <w:t>Agreement:</w:t>
            </w:r>
          </w:p>
          <w:p>
            <w:pPr>
              <w:keepNext w:val="0"/>
              <w:keepLines w:val="0"/>
              <w:pageBreakBefore w:val="0"/>
              <w:numPr>
                <w:ilvl w:val="0"/>
                <w:numId w:val="4"/>
              </w:numPr>
              <w:kinsoku/>
              <w:wordWrap/>
              <w:overflowPunct/>
              <w:topLinePunct w:val="0"/>
              <w:autoSpaceDE/>
              <w:autoSpaceDN/>
              <w:bidi w:val="0"/>
              <w:adjustRightInd/>
              <w:snapToGrid/>
              <w:ind w:left="840" w:leftChars="0" w:hanging="420" w:firstLineChars="0"/>
              <w:textAlignment w:val="auto"/>
              <w:rPr>
                <w:rFonts w:hint="default" w:ascii="Times New Roman" w:hAnsi="Times New Roman" w:cs="Times New Roman" w:eastAsiaTheme="minorEastAsia"/>
                <w:iCs/>
                <w:kern w:val="0"/>
                <w:sz w:val="20"/>
                <w:szCs w:val="24"/>
                <w:lang w:val="en-US" w:eastAsia="zh-CN" w:bidi="ar-SA"/>
              </w:rPr>
            </w:pPr>
            <w:r>
              <w:rPr>
                <w:rFonts w:ascii="Times New Roman" w:hAnsi="Times New Roman" w:cs="Times New Roman" w:eastAsiaTheme="minorEastAsia"/>
                <w:iCs/>
                <w:kern w:val="0"/>
                <w:sz w:val="20"/>
                <w:szCs w:val="24"/>
                <w:lang w:val="en-US" w:eastAsia="zh-CN" w:bidi="ar-SA"/>
              </w:rPr>
              <w:t>Define an additional symbol of delay during TCI switching when TOk=0 for PC6 UEs.</w:t>
            </w:r>
          </w:p>
          <w:p>
            <w:pPr>
              <w:pStyle w:val="27"/>
              <w:keepNext w:val="0"/>
              <w:keepLines w:val="0"/>
              <w:pageBreakBefore w:val="0"/>
              <w:numPr>
                <w:ilvl w:val="0"/>
                <w:numId w:val="0"/>
              </w:numPr>
              <w:kinsoku/>
              <w:wordWrap/>
              <w:overflowPunct/>
              <w:topLinePunct w:val="0"/>
              <w:autoSpaceDE/>
              <w:autoSpaceDN/>
              <w:bidi w:val="0"/>
              <w:adjustRightInd/>
              <w:snapToGrid/>
              <w:textAlignment w:val="auto"/>
              <w:rPr>
                <w:rFonts w:eastAsia="Yu Mincho"/>
                <w:bCs/>
                <w:lang w:val="en-US"/>
              </w:rPr>
            </w:pPr>
          </w:p>
          <w:p>
            <w:pPr>
              <w:pStyle w:val="27"/>
              <w:keepNext w:val="0"/>
              <w:keepLines w:val="0"/>
              <w:pageBreakBefore w:val="0"/>
              <w:numPr>
                <w:ilvl w:val="0"/>
                <w:numId w:val="0"/>
              </w:numPr>
              <w:kinsoku/>
              <w:wordWrap/>
              <w:overflowPunct/>
              <w:topLinePunct w:val="0"/>
              <w:autoSpaceDE/>
              <w:autoSpaceDN/>
              <w:bidi w:val="0"/>
              <w:adjustRightInd/>
              <w:snapToGrid/>
              <w:textAlignment w:val="auto"/>
              <w:rPr>
                <w:rFonts w:ascii="Times New Roman" w:hAnsi="Times New Roman" w:cs="Times New Roman" w:eastAsiaTheme="minorEastAsia"/>
                <w:b/>
                <w:kern w:val="0"/>
                <w:sz w:val="20"/>
                <w:szCs w:val="24"/>
                <w:u w:val="single"/>
                <w:lang w:val="en-US" w:eastAsia="zh-CN" w:bidi="ar-SA"/>
              </w:rPr>
            </w:pPr>
            <w:r>
              <w:rPr>
                <w:rFonts w:ascii="Times New Roman" w:hAnsi="Times New Roman" w:cs="Times New Roman" w:eastAsiaTheme="minorEastAsia"/>
                <w:b/>
                <w:kern w:val="0"/>
                <w:sz w:val="20"/>
                <w:szCs w:val="24"/>
                <w:u w:val="single"/>
                <w:lang w:val="en-US" w:eastAsia="zh-CN" w:bidi="ar-SA"/>
              </w:rPr>
              <w:t>CSI-RS based RLM and BFD requirements</w:t>
            </w:r>
          </w:p>
          <w:p>
            <w:pPr>
              <w:overflowPunct w:val="0"/>
              <w:autoSpaceDE w:val="0"/>
              <w:autoSpaceDN w:val="0"/>
              <w:adjustRightInd w:val="0"/>
              <w:ind w:leftChars="100"/>
              <w:textAlignment w:val="baseline"/>
              <w:rPr>
                <w:rFonts w:eastAsia="Yu Mincho"/>
                <w:b/>
                <w:highlight w:val="green"/>
                <w:lang w:val="en-US"/>
              </w:rPr>
            </w:pPr>
            <w:r>
              <w:rPr>
                <w:rFonts w:eastAsia="Yu Mincho"/>
                <w:b/>
                <w:highlight w:val="green"/>
                <w:lang w:val="en-US"/>
              </w:rPr>
              <w:t>Agreement:</w:t>
            </w:r>
          </w:p>
          <w:p>
            <w:pPr>
              <w:keepNext w:val="0"/>
              <w:keepLines w:val="0"/>
              <w:pageBreakBefore w:val="0"/>
              <w:numPr>
                <w:ilvl w:val="0"/>
                <w:numId w:val="4"/>
              </w:numPr>
              <w:kinsoku/>
              <w:wordWrap/>
              <w:overflowPunct/>
              <w:topLinePunct w:val="0"/>
              <w:autoSpaceDE/>
              <w:autoSpaceDN/>
              <w:bidi w:val="0"/>
              <w:adjustRightInd/>
              <w:snapToGrid/>
              <w:ind w:left="840" w:leftChars="0" w:hanging="420" w:firstLineChars="0"/>
              <w:textAlignment w:val="auto"/>
              <w:rPr>
                <w:rFonts w:ascii="Times New Roman" w:hAnsi="Times New Roman" w:cs="Times New Roman" w:eastAsiaTheme="minorEastAsia"/>
                <w:iCs/>
                <w:kern w:val="0"/>
                <w:sz w:val="20"/>
                <w:szCs w:val="24"/>
                <w:lang w:val="en-US" w:eastAsia="zh-CN" w:bidi="ar-SA"/>
              </w:rPr>
            </w:pPr>
            <w:r>
              <w:rPr>
                <w:rFonts w:ascii="Times New Roman" w:hAnsi="Times New Roman" w:cs="Times New Roman" w:eastAsiaTheme="minorEastAsia"/>
                <w:iCs/>
                <w:kern w:val="0"/>
                <w:sz w:val="20"/>
                <w:szCs w:val="24"/>
                <w:lang w:val="en-US" w:eastAsia="zh-CN" w:bidi="ar-SA"/>
              </w:rPr>
              <w:t>For CSI-RS based RLM and BFD, there is no standard impact for Rel-17 FR2 HST UE (i.e., FR2 PC6 UE).</w:t>
            </w:r>
          </w:p>
          <w:p>
            <w:pPr>
              <w:keepNext w:val="0"/>
              <w:keepLines w:val="0"/>
              <w:pageBreakBefore w:val="0"/>
              <w:numPr>
                <w:ilvl w:val="0"/>
                <w:numId w:val="0"/>
              </w:numPr>
              <w:kinsoku/>
              <w:wordWrap/>
              <w:overflowPunct/>
              <w:topLinePunct w:val="0"/>
              <w:autoSpaceDE/>
              <w:autoSpaceDN/>
              <w:bidi w:val="0"/>
              <w:adjustRightInd/>
              <w:snapToGrid/>
              <w:ind w:left="420" w:leftChars="0"/>
              <w:textAlignment w:val="auto"/>
              <w:rPr>
                <w:rFonts w:ascii="Times New Roman" w:hAnsi="Times New Roman" w:cs="Times New Roman" w:eastAsiaTheme="minorEastAsia"/>
                <w:iCs/>
                <w:kern w:val="0"/>
                <w:sz w:val="20"/>
                <w:szCs w:val="24"/>
                <w:lang w:val="en-US" w:eastAsia="zh-CN" w:bidi="ar-SA"/>
              </w:rPr>
            </w:pPr>
          </w:p>
          <w:p>
            <w:pPr>
              <w:pStyle w:val="27"/>
              <w:keepNext w:val="0"/>
              <w:keepLines w:val="0"/>
              <w:pageBreakBefore w:val="0"/>
              <w:numPr>
                <w:ilvl w:val="0"/>
                <w:numId w:val="0"/>
              </w:numPr>
              <w:kinsoku/>
              <w:wordWrap/>
              <w:overflowPunct/>
              <w:topLinePunct w:val="0"/>
              <w:autoSpaceDE/>
              <w:autoSpaceDN/>
              <w:bidi w:val="0"/>
              <w:adjustRightInd/>
              <w:snapToGrid/>
              <w:textAlignment w:val="auto"/>
              <w:rPr>
                <w:rFonts w:ascii="Times New Roman" w:hAnsi="Times New Roman" w:cs="Times New Roman" w:eastAsiaTheme="minorEastAsia"/>
                <w:b/>
                <w:kern w:val="0"/>
                <w:sz w:val="20"/>
                <w:szCs w:val="24"/>
                <w:u w:val="single"/>
                <w:lang w:val="en-US" w:eastAsia="zh-CN" w:bidi="ar-SA"/>
              </w:rPr>
            </w:pPr>
            <w:r>
              <w:rPr>
                <w:rFonts w:ascii="Times New Roman" w:hAnsi="Times New Roman" w:cs="Times New Roman" w:eastAsiaTheme="minorEastAsia"/>
                <w:b/>
                <w:kern w:val="0"/>
                <w:sz w:val="20"/>
                <w:szCs w:val="24"/>
                <w:u w:val="single"/>
                <w:lang w:val="en-US" w:eastAsia="zh-CN" w:bidi="ar-SA"/>
              </w:rPr>
              <w:t>Scheduling restriction on SSB</w:t>
            </w:r>
          </w:p>
          <w:p>
            <w:pPr>
              <w:overflowPunct w:val="0"/>
              <w:autoSpaceDE w:val="0"/>
              <w:autoSpaceDN w:val="0"/>
              <w:adjustRightInd w:val="0"/>
              <w:ind w:leftChars="100"/>
              <w:textAlignment w:val="baseline"/>
              <w:rPr>
                <w:rFonts w:eastAsia="Yu Mincho"/>
                <w:b/>
                <w:lang w:val="en-US"/>
              </w:rPr>
            </w:pPr>
            <w:r>
              <w:rPr>
                <w:rFonts w:eastAsia="Yu Mincho"/>
                <w:b/>
                <w:lang w:val="en-US"/>
              </w:rPr>
              <w:t>Way forward (maintenance):</w:t>
            </w:r>
          </w:p>
          <w:p>
            <w:pPr>
              <w:pStyle w:val="27"/>
              <w:keepNext w:val="0"/>
              <w:keepLines w:val="0"/>
              <w:pageBreakBefore w:val="0"/>
              <w:numPr>
                <w:ilvl w:val="0"/>
                <w:numId w:val="4"/>
              </w:numPr>
              <w:kinsoku/>
              <w:wordWrap/>
              <w:overflowPunct/>
              <w:topLinePunct w:val="0"/>
              <w:autoSpaceDE/>
              <w:autoSpaceDN/>
              <w:bidi w:val="0"/>
              <w:adjustRightInd/>
              <w:snapToGrid/>
              <w:ind w:left="840" w:leftChars="0" w:hanging="420" w:firstLineChars="0"/>
              <w:textAlignment w:val="auto"/>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cs="Times New Roman" w:eastAsiaTheme="minorEastAsia"/>
                <w:iCs/>
                <w:kern w:val="0"/>
                <w:sz w:val="20"/>
                <w:szCs w:val="24"/>
                <w:lang w:val="en-US" w:eastAsia="zh-CN" w:bidi="ar-SA"/>
              </w:rPr>
              <w:t>FFS whether the network should not use adjacent SSBs in FR2 HST.</w:t>
            </w:r>
          </w:p>
        </w:tc>
      </w:tr>
    </w:tbl>
    <w:p>
      <w:pPr>
        <w:widowControl w:val="0"/>
        <w:numPr>
          <w:ilvl w:val="0"/>
          <w:numId w:val="0"/>
        </w:numPr>
        <w:jc w:val="both"/>
        <w:rPr>
          <w:rFonts w:hint="default" w:eastAsia="宋体"/>
          <w:kern w:val="2"/>
          <w:sz w:val="20"/>
          <w:szCs w:val="20"/>
          <w:lang w:val="en-US" w:eastAsia="zh-CN"/>
        </w:rPr>
      </w:pPr>
      <w:r>
        <w:rPr>
          <w:rFonts w:hint="eastAsia" w:eastAsia="宋体"/>
          <w:color w:val="auto"/>
          <w:sz w:val="20"/>
          <w:szCs w:val="20"/>
          <w:lang w:val="en-US" w:eastAsia="zh-CN"/>
        </w:rPr>
        <w:t>Based on the progress achieved during previous meetings</w:t>
      </w:r>
      <w:r>
        <w:rPr>
          <w:rFonts w:hint="default" w:eastAsia="宋体"/>
          <w:color w:val="auto"/>
          <w:sz w:val="20"/>
          <w:szCs w:val="20"/>
          <w:lang w:val="en-US" w:eastAsia="zh-CN"/>
        </w:rPr>
        <w:t>’</w:t>
      </w:r>
      <w:r>
        <w:rPr>
          <w:rFonts w:hint="eastAsia" w:eastAsia="宋体"/>
          <w:color w:val="auto"/>
          <w:sz w:val="20"/>
          <w:szCs w:val="20"/>
          <w:lang w:val="en-US" w:eastAsia="zh-CN"/>
        </w:rPr>
        <w:t xml:space="preserve"> core part discussion, f</w:t>
      </w:r>
      <w:r>
        <w:rPr>
          <w:rFonts w:hint="eastAsia" w:eastAsia="宋体"/>
          <w:kern w:val="2"/>
          <w:sz w:val="20"/>
          <w:szCs w:val="20"/>
          <w:lang w:val="en-US" w:eastAsia="zh-CN"/>
        </w:rPr>
        <w:t>or signalling characteristics, only the issue of Scheduling restriction is still pending, we provide our analysis for this issue.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Firstly we believe it is necessary to clarify that two types of scheduling restriction should be considered in HST FR2. The first type is DL/UL transmission scheduling restriction, aim to restrict the DL/UL transmission in serving cells; The second type is SSB scheduling restriction, so as to avoid two SSB transmissions in adjacent symbols. For HST FR2, the purpose of considering the both two types of scheduling restriction is to avoid ISI due to large propagation delay difference when serving cell RRH switches.  </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the first type of scheduling restriction, actually during 101bis meeting, about DL/UL transmission scheduling restriction, the following WF was approved: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7"/>
              <w:numPr>
                <w:ilvl w:val="0"/>
                <w:numId w:val="0"/>
              </w:numPr>
              <w:spacing w:after="120"/>
              <w:rPr>
                <w:rFonts w:ascii="Times New Roman" w:hAnsi="Times New Roman" w:cs="Times New Roman"/>
              </w:rPr>
            </w:pPr>
            <w:r>
              <w:rPr>
                <w:rFonts w:ascii="Times New Roman" w:hAnsi="Times New Roman" w:cs="Times New Roman"/>
              </w:rPr>
              <w:t xml:space="preserve">Way Forward: </w:t>
            </w:r>
          </w:p>
          <w:p>
            <w:pPr>
              <w:pStyle w:val="27"/>
              <w:keepNext w:val="0"/>
              <w:keepLines w:val="0"/>
              <w:pageBreakBefore w:val="0"/>
              <w:widowControl w:val="0"/>
              <w:numPr>
                <w:ilvl w:val="0"/>
                <w:numId w:val="5"/>
              </w:numPr>
              <w:kinsoku/>
              <w:wordWrap/>
              <w:overflowPunct w:val="0"/>
              <w:topLinePunct w:val="0"/>
              <w:autoSpaceDE w:val="0"/>
              <w:autoSpaceDN w:val="0"/>
              <w:bidi w:val="0"/>
              <w:adjustRightInd w:val="0"/>
              <w:snapToGrid/>
              <w:ind w:left="420" w:leftChars="0" w:hanging="420" w:firstLineChars="0"/>
              <w:textAlignment w:val="baseline"/>
              <w:rPr>
                <w:rFonts w:ascii="Times New Roman" w:hAnsi="Times New Roman" w:cs="Times New Roman"/>
              </w:rPr>
            </w:pPr>
            <w:r>
              <w:rPr>
                <w:rFonts w:ascii="Times New Roman" w:hAnsi="Times New Roman" w:cs="Times New Roman"/>
              </w:rPr>
              <w:t xml:space="preserve">Scheduling restriction related to large propagation delay difference caused by </w:t>
            </w:r>
            <w:r>
              <w:rPr>
                <w:rFonts w:ascii="Times New Roman" w:hAnsi="Times New Roman" w:cs="Times New Roman"/>
                <w:highlight w:val="none"/>
              </w:rPr>
              <w:t>inter-RRH beam switching</w:t>
            </w:r>
            <w:r>
              <w:rPr>
                <w:rFonts w:ascii="Times New Roman" w:hAnsi="Times New Roman" w:cs="Times New Roman"/>
              </w:rPr>
              <w:t xml:space="preserve"> in FR2 HST: </w:t>
            </w:r>
          </w:p>
          <w:p>
            <w:pPr>
              <w:pStyle w:val="27"/>
              <w:keepNext w:val="0"/>
              <w:keepLines w:val="0"/>
              <w:pageBreakBefore w:val="0"/>
              <w:widowControl w:val="0"/>
              <w:numPr>
                <w:ilvl w:val="0"/>
                <w:numId w:val="6"/>
              </w:numPr>
              <w:kinsoku/>
              <w:wordWrap/>
              <w:overflowPunct w:val="0"/>
              <w:topLinePunct w:val="0"/>
              <w:autoSpaceDE w:val="0"/>
              <w:autoSpaceDN w:val="0"/>
              <w:bidi w:val="0"/>
              <w:adjustRightInd w:val="0"/>
              <w:snapToGrid/>
              <w:ind w:left="840" w:leftChars="0" w:hanging="420" w:firstLineChars="0"/>
              <w:textAlignment w:val="baseline"/>
              <w:rPr>
                <w:rFonts w:ascii="Times New Roman" w:hAnsi="Times New Roman" w:cs="Times New Roman"/>
              </w:rPr>
            </w:pPr>
            <w:r>
              <w:rPr>
                <w:rFonts w:ascii="Times New Roman" w:hAnsi="Times New Roman" w:cs="Times New Roman"/>
              </w:rPr>
              <w:t>FFS the necessity of UL scheduling restriction (i.e., the UE is not expected to transmit PUCCH/PUSCH/SRS) after cross-RRH TCI state switch until the first TRS is received after the TCI state switch.</w:t>
            </w:r>
          </w:p>
          <w:p>
            <w:pPr>
              <w:pStyle w:val="27"/>
              <w:keepNext w:val="0"/>
              <w:keepLines w:val="0"/>
              <w:pageBreakBefore w:val="0"/>
              <w:widowControl w:val="0"/>
              <w:numPr>
                <w:ilvl w:val="0"/>
                <w:numId w:val="6"/>
              </w:numPr>
              <w:kinsoku/>
              <w:wordWrap/>
              <w:overflowPunct w:val="0"/>
              <w:topLinePunct w:val="0"/>
              <w:autoSpaceDE w:val="0"/>
              <w:autoSpaceDN w:val="0"/>
              <w:bidi w:val="0"/>
              <w:adjustRightInd w:val="0"/>
              <w:snapToGrid/>
              <w:ind w:left="840" w:leftChars="0" w:hanging="420" w:firstLineChars="0"/>
              <w:textAlignment w:val="baseline"/>
              <w:rPr>
                <w:rFonts w:ascii="Times New Roman" w:hAnsi="Times New Roman" w:cs="Times New Roman"/>
              </w:rPr>
            </w:pPr>
            <w:r>
              <w:rPr>
                <w:rFonts w:ascii="Times New Roman" w:hAnsi="Times New Roman" w:cs="Times New Roman"/>
              </w:rPr>
              <w:t xml:space="preserve">RAN4 introduce scheduling restriction for the symbol before and after reference symbols used for L1-RSRP measurement. </w:t>
            </w:r>
          </w:p>
          <w:p>
            <w:pPr>
              <w:pStyle w:val="27"/>
              <w:keepNext w:val="0"/>
              <w:keepLines w:val="0"/>
              <w:pageBreakBefore w:val="0"/>
              <w:widowControl w:val="0"/>
              <w:numPr>
                <w:ilvl w:val="0"/>
                <w:numId w:val="7"/>
              </w:numPr>
              <w:kinsoku/>
              <w:wordWrap/>
              <w:overflowPunct w:val="0"/>
              <w:topLinePunct w:val="0"/>
              <w:autoSpaceDE w:val="0"/>
              <w:autoSpaceDN w:val="0"/>
              <w:bidi w:val="0"/>
              <w:adjustRightInd w:val="0"/>
              <w:snapToGrid/>
              <w:ind w:left="1260" w:leftChars="0" w:hanging="420" w:firstLineChars="0"/>
              <w:textAlignment w:val="baseline"/>
              <w:rPr>
                <w:rFonts w:hint="default" w:cs="Times New Roman"/>
                <w:b w:val="0"/>
                <w:bCs/>
                <w:kern w:val="44"/>
                <w:sz w:val="21"/>
                <w:szCs w:val="21"/>
                <w:vertAlign w:val="baseline"/>
                <w:lang w:val="en-US" w:eastAsia="zh-CN" w:bidi="ar-SA"/>
              </w:rPr>
            </w:pPr>
            <w:r>
              <w:rPr>
                <w:rFonts w:ascii="Times New Roman" w:hAnsi="Times New Roman" w:cs="Times New Roman"/>
              </w:rPr>
              <w:t>Such scheduling restriction shall be specified in clauses of L1 measurement (i.e., L1-SINR and L1-RSRP)</w:t>
            </w:r>
          </w:p>
        </w:tc>
      </w:tr>
    </w:tbl>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So we can believe the DL/UL transmission scheduling restriction for the symbol before and after RS used for L1-RSRP measurement should be applied when inter-RRH beam switching happens. But since the inter-RRH indication is not allowed in Rel-17, so when to apply such DL/UL transmission scheduling restriction, it can only depend on NW implementation. Since all UE</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s receiving and transmission depend on NW scheduling, so without any impact on UE behaviour. From the perspective of NW, it needs to predict the inter-RRH switching and perform scheduling restriction.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When to apply the DL/UL transmission scheduling restriction, depend on NW implementation, without any impact on UE behaviour.</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the second type of scheduling restriction, during 102 meeting, the following proposal was suggested: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rPr>
                <w:rFonts w:hint="default" w:eastAsia="宋体"/>
                <w:color w:val="auto"/>
                <w:sz w:val="20"/>
                <w:szCs w:val="20"/>
                <w:highlight w:val="none"/>
                <w:vertAlign w:val="baseline"/>
                <w:lang w:val="en-US" w:eastAsia="zh-CN"/>
              </w:rPr>
            </w:pPr>
            <w:r>
              <w:rPr>
                <w:rFonts w:eastAsia="Yu Mincho"/>
                <w:bCs/>
                <w:lang w:val="en-US"/>
              </w:rPr>
              <w:t xml:space="preserve">Proposal 1: </w:t>
            </w:r>
            <w:r>
              <w:rPr>
                <w:rFonts w:eastAsia="Yu Mincho"/>
              </w:rPr>
              <w:t>To minimize L1-RSRP measurement impact and limit specification change, network should not use adjacent SSBs in FR2 HST.</w:t>
            </w:r>
          </w:p>
        </w:tc>
      </w:tr>
    </w:tbl>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As shown in Fig.1, since SSB 0 and SSB 1 are configured in adjacent symbols, if SSB 0 was transmitted by RRH 0 and SSB 1 was transmitted by RRH 1, when switch between RRH 0 and RRH 1 happens, the inter-symbol-interference exists in the last symbol and SSB 0 and first symbol of SSB 1, in order to avoid such ISI, such adjacent SSBs between two neighbour RRHs should be not allowed. </w:t>
      </w:r>
    </w:p>
    <w:p>
      <w:pPr>
        <w:pStyle w:val="4"/>
        <w:jc w:val="center"/>
        <w:rPr>
          <w:rFonts w:hint="eastAsia" w:eastAsia="宋体"/>
          <w:color w:val="auto"/>
          <w:sz w:val="20"/>
          <w:szCs w:val="20"/>
          <w:highlight w:val="none"/>
          <w:lang w:val="en-US" w:eastAsia="zh-CN"/>
        </w:rPr>
      </w:pPr>
      <w:r>
        <w:rPr>
          <w:rFonts w:eastAsia="Yu Mincho"/>
          <w:lang w:val="en-US" w:eastAsia="zh-CN"/>
        </w:rPr>
        <w:drawing>
          <wp:inline distT="0" distB="0" distL="114300" distR="114300">
            <wp:extent cx="4567555" cy="752475"/>
            <wp:effectExtent l="0" t="0" r="444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5"/>
                    <a:stretch>
                      <a:fillRect/>
                    </a:stretch>
                  </pic:blipFill>
                  <pic:spPr>
                    <a:xfrm>
                      <a:off x="0" y="0"/>
                      <a:ext cx="4567555" cy="752475"/>
                    </a:xfrm>
                    <a:prstGeom prst="rect">
                      <a:avLst/>
                    </a:prstGeom>
                    <a:noFill/>
                    <a:ln w="9525">
                      <a:noFill/>
                    </a:ln>
                  </pic:spPr>
                </pic:pic>
              </a:graphicData>
            </a:graphic>
          </wp:inline>
        </w:drawing>
      </w:r>
    </w:p>
    <w:p>
      <w:pPr>
        <w:pStyle w:val="4"/>
        <w:jc w:val="center"/>
        <w:rPr>
          <w:rFonts w:hint="eastAsia" w:eastAsia="宋体"/>
          <w:color w:val="auto"/>
          <w:lang w:val="en-US" w:eastAsia="zh-CN"/>
        </w:rPr>
      </w:pPr>
      <w:r>
        <w:rPr>
          <w:rFonts w:hint="eastAsia" w:eastAsia="宋体"/>
          <w:color w:val="auto"/>
          <w:lang w:val="en-US" w:eastAsia="zh-CN"/>
        </w:rPr>
        <w:t>Fig.1 adjacent SSBs in HST FR2</w:t>
      </w:r>
    </w:p>
    <w:p>
      <w:pPr>
        <w:pStyle w:val="4"/>
        <w:rPr>
          <w:rFonts w:hint="default" w:eastAsia="宋体"/>
          <w:color w:val="auto"/>
          <w:lang w:val="en-US" w:eastAsia="zh-CN"/>
        </w:rPr>
      </w:pPr>
      <w:r>
        <w:rPr>
          <w:rFonts w:hint="eastAsia" w:eastAsia="宋体" w:cs="Times New Roman"/>
          <w:b/>
          <w:bCs/>
          <w:color w:val="auto"/>
          <w:sz w:val="20"/>
          <w:szCs w:val="20"/>
          <w:highlight w:val="none"/>
          <w:lang w:val="en-US" w:eastAsia="zh-CN" w:bidi="ar-SA"/>
        </w:rPr>
        <w:t>Proposal 2: In order to avoid ISI, adjacent SSBs between two neighbour RRHs should be not allowed for HST FR2.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Signalling characteristics for HST FR2</w:t>
      </w:r>
      <w:r>
        <w:rPr>
          <w:rFonts w:eastAsia="宋体"/>
          <w:bCs/>
          <w:color w:val="auto"/>
          <w:sz w:val="20"/>
          <w:szCs w:val="20"/>
          <w:lang w:val="en-GB" w:eastAsia="zh-CN"/>
        </w:rPr>
        <w:t>:</w:t>
      </w:r>
    </w:p>
    <w:p>
      <w:pPr>
        <w:pStyle w:val="4"/>
        <w:keepNext w:val="0"/>
        <w:keepLines w:val="0"/>
        <w:pageBreakBefore w:val="0"/>
        <w:widowControl/>
        <w:kinsoku/>
        <w:wordWrap/>
        <w:overflowPunct/>
        <w:topLinePunct w:val="0"/>
        <w:autoSpaceDE/>
        <w:autoSpaceDN/>
        <w:bidi w:val="0"/>
        <w:adjustRightInd/>
        <w:snapToGrid/>
        <w:spacing w:after="120"/>
        <w:textAlignment w:val="auto"/>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lang w:val="en-US" w:eastAsia="zh-CN" w:bidi="ar-SA"/>
        </w:rPr>
        <w:t xml:space="preserve">Proposal 1: </w:t>
      </w:r>
      <w:r>
        <w:rPr>
          <w:rFonts w:hint="eastAsia" w:eastAsia="宋体" w:cs="Times New Roman"/>
          <w:b/>
          <w:bCs/>
          <w:color w:val="auto"/>
          <w:sz w:val="20"/>
          <w:szCs w:val="20"/>
          <w:highlight w:val="none"/>
          <w:lang w:val="en-US" w:eastAsia="zh-CN" w:bidi="ar-SA"/>
        </w:rPr>
        <w:t>When to apply the DL/UL transmission scheduling restriction, depend on NW implementation, without any impact on UE behaviour.</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In order to avoid ISI, adjacent SSBs between two neighbour RRHs should be not allowed for HST FR2.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Chars="0"/>
        <w:rPr>
          <w:rFonts w:hint="default" w:eastAsia="宋体"/>
          <w:color w:val="auto"/>
          <w:lang w:val="en-US" w:eastAsia="zh-CN"/>
        </w:rPr>
      </w:pPr>
      <w:r>
        <w:rPr>
          <w:rFonts w:hint="eastAsia"/>
          <w:color w:val="auto"/>
          <w:lang w:val="en-US" w:eastAsia="zh-CN"/>
        </w:rPr>
        <w:t>R4-2</w:t>
      </w:r>
      <w:r>
        <w:rPr>
          <w:rFonts w:hint="eastAsia"/>
          <w:color w:val="auto"/>
          <w:highlight w:val="none"/>
          <w:lang w:val="en-US" w:eastAsia="zh-CN"/>
        </w:rPr>
        <w:t>206848</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FR2 HST RRM (part 1)</w:t>
      </w:r>
      <w:r>
        <w:rPr>
          <w:rFonts w:hint="default"/>
          <w:color w:val="auto"/>
          <w:lang w:val="en-US" w:eastAsia="zh-CN"/>
        </w:rPr>
        <w:t>”</w:t>
      </w:r>
      <w:r>
        <w:rPr>
          <w:rFonts w:hint="eastAsia"/>
          <w:color w:val="auto"/>
          <w:lang w:val="en-US" w:eastAsia="zh-CN"/>
        </w:rPr>
        <w:t xml:space="preserve">, RAN4#102 e-meeting, </w:t>
      </w:r>
      <w:bookmarkStart w:id="0" w:name="OLE_LINK3"/>
      <w:r>
        <w:rPr>
          <w:rFonts w:hint="eastAsia"/>
          <w:color w:val="auto"/>
          <w:lang w:val="en-US" w:eastAsia="zh-CN"/>
        </w:rPr>
        <w:t>Nokia, Nokia Shanghai Bell</w:t>
      </w:r>
      <w:bookmarkEnd w:id="0"/>
      <w:r>
        <w:rPr>
          <w:rFonts w:hint="eastAsia"/>
          <w:color w:val="auto"/>
          <w:lang w:val="en-US" w:eastAsia="zh-CN"/>
        </w:rPr>
        <w:t xml:space="preserve">.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B5230632"/>
    <w:multiLevelType w:val="singleLevel"/>
    <w:tmpl w:val="B5230632"/>
    <w:lvl w:ilvl="0" w:tentative="0">
      <w:start w:val="1"/>
      <w:numFmt w:val="bullet"/>
      <w:lvlText w:val=""/>
      <w:lvlJc w:val="left"/>
      <w:pPr>
        <w:ind w:left="420" w:hanging="420"/>
      </w:pPr>
      <w:rPr>
        <w:rFonts w:hint="default" w:ascii="Wingdings" w:hAnsi="Wingdings"/>
      </w:rPr>
    </w:lvl>
  </w:abstractNum>
  <w:abstractNum w:abstractNumId="2">
    <w:nsid w:val="16078AF3"/>
    <w:multiLevelType w:val="singleLevel"/>
    <w:tmpl w:val="16078AF3"/>
    <w:lvl w:ilvl="0" w:tentative="0">
      <w:start w:val="1"/>
      <w:numFmt w:val="bullet"/>
      <w:lvlText w:val=""/>
      <w:lvlJc w:val="left"/>
      <w:pPr>
        <w:tabs>
          <w:tab w:val="left" w:pos="420"/>
        </w:tabs>
        <w:ind w:left="84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19A80BD"/>
    <w:multiLevelType w:val="singleLevel"/>
    <w:tmpl w:val="319A80BD"/>
    <w:lvl w:ilvl="0" w:tentative="0">
      <w:start w:val="1"/>
      <w:numFmt w:val="bullet"/>
      <w:lvlText w:val=""/>
      <w:lvlJc w:val="left"/>
      <w:pPr>
        <w:tabs>
          <w:tab w:val="left" w:pos="420"/>
        </w:tabs>
        <w:ind w:left="840" w:hanging="420"/>
      </w:pPr>
      <w:rPr>
        <w:rFonts w:hint="default" w:ascii="Wingdings" w:hAnsi="Wingdings"/>
      </w:rPr>
    </w:lvl>
  </w:abstractNum>
  <w:abstractNum w:abstractNumId="5">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6FCE6BC9"/>
    <w:multiLevelType w:val="singleLevel"/>
    <w:tmpl w:val="6FCE6BC9"/>
    <w:lvl w:ilvl="0" w:tentative="0">
      <w:start w:val="1"/>
      <w:numFmt w:val="bullet"/>
      <w:lvlText w:val=""/>
      <w:lvlJc w:val="left"/>
      <w:pPr>
        <w:tabs>
          <w:tab w:val="left" w:pos="840"/>
        </w:tabs>
        <w:ind w:left="1260" w:hanging="420"/>
      </w:pPr>
      <w:rPr>
        <w:rFonts w:hint="default" w:ascii="Wingdings" w:hAnsi="Wingdings"/>
      </w:rPr>
    </w:lvl>
  </w:abstractNum>
  <w:num w:numId="1">
    <w:abstractNumId w:val="6"/>
  </w:num>
  <w:num w:numId="2">
    <w:abstractNumId w:val="5"/>
  </w:num>
  <w:num w:numId="3">
    <w:abstractNumId w:val="3"/>
  </w:num>
  <w:num w:numId="4">
    <w:abstractNumId w:val="2"/>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47A3CFF"/>
    <w:rsid w:val="05317828"/>
    <w:rsid w:val="05477E90"/>
    <w:rsid w:val="05BB5AB9"/>
    <w:rsid w:val="05C42923"/>
    <w:rsid w:val="06963BA6"/>
    <w:rsid w:val="07CD3CDD"/>
    <w:rsid w:val="0855671D"/>
    <w:rsid w:val="089009EB"/>
    <w:rsid w:val="09716BCA"/>
    <w:rsid w:val="09D64B23"/>
    <w:rsid w:val="09E644B8"/>
    <w:rsid w:val="0B12013A"/>
    <w:rsid w:val="0B3D3C2F"/>
    <w:rsid w:val="0BB0429A"/>
    <w:rsid w:val="0BFF5FC6"/>
    <w:rsid w:val="10997F43"/>
    <w:rsid w:val="10DE7BAE"/>
    <w:rsid w:val="120774A3"/>
    <w:rsid w:val="14006D19"/>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21014C39"/>
    <w:rsid w:val="21244EB1"/>
    <w:rsid w:val="213964D8"/>
    <w:rsid w:val="21F13629"/>
    <w:rsid w:val="24122135"/>
    <w:rsid w:val="24D4257E"/>
    <w:rsid w:val="2572202B"/>
    <w:rsid w:val="2605683C"/>
    <w:rsid w:val="26BB1419"/>
    <w:rsid w:val="27B748AA"/>
    <w:rsid w:val="27CB4CB9"/>
    <w:rsid w:val="281C2F58"/>
    <w:rsid w:val="29642C4B"/>
    <w:rsid w:val="2A34628C"/>
    <w:rsid w:val="2A724D05"/>
    <w:rsid w:val="2A7E505C"/>
    <w:rsid w:val="2BC05B2C"/>
    <w:rsid w:val="2BD617C5"/>
    <w:rsid w:val="2C112837"/>
    <w:rsid w:val="2E014790"/>
    <w:rsid w:val="2EE77680"/>
    <w:rsid w:val="2F2F0FC8"/>
    <w:rsid w:val="301C6BB6"/>
    <w:rsid w:val="319708F2"/>
    <w:rsid w:val="31B14C9E"/>
    <w:rsid w:val="33C522D7"/>
    <w:rsid w:val="34807672"/>
    <w:rsid w:val="35B06C6A"/>
    <w:rsid w:val="36941AA2"/>
    <w:rsid w:val="36D37423"/>
    <w:rsid w:val="379D23F9"/>
    <w:rsid w:val="3A185287"/>
    <w:rsid w:val="3A1F46B8"/>
    <w:rsid w:val="3A692CD0"/>
    <w:rsid w:val="3B270929"/>
    <w:rsid w:val="3B3D5571"/>
    <w:rsid w:val="3B673620"/>
    <w:rsid w:val="3B9A1F29"/>
    <w:rsid w:val="3CE4646B"/>
    <w:rsid w:val="3D5E7AA8"/>
    <w:rsid w:val="3D6F2596"/>
    <w:rsid w:val="405F175E"/>
    <w:rsid w:val="40C765F3"/>
    <w:rsid w:val="42F869D2"/>
    <w:rsid w:val="43553536"/>
    <w:rsid w:val="44972678"/>
    <w:rsid w:val="451632B9"/>
    <w:rsid w:val="45906394"/>
    <w:rsid w:val="45F60A50"/>
    <w:rsid w:val="46142D0C"/>
    <w:rsid w:val="46B036BF"/>
    <w:rsid w:val="47282363"/>
    <w:rsid w:val="49DC4EAC"/>
    <w:rsid w:val="49E55BC5"/>
    <w:rsid w:val="4C1C63D6"/>
    <w:rsid w:val="4C864A35"/>
    <w:rsid w:val="4E015C76"/>
    <w:rsid w:val="4E4A2325"/>
    <w:rsid w:val="501A6C55"/>
    <w:rsid w:val="51B14BED"/>
    <w:rsid w:val="52526454"/>
    <w:rsid w:val="525C1CEF"/>
    <w:rsid w:val="528B5767"/>
    <w:rsid w:val="52D33625"/>
    <w:rsid w:val="53A3105E"/>
    <w:rsid w:val="53C64B93"/>
    <w:rsid w:val="548A6C60"/>
    <w:rsid w:val="55B1164D"/>
    <w:rsid w:val="55B4735E"/>
    <w:rsid w:val="56371459"/>
    <w:rsid w:val="56484633"/>
    <w:rsid w:val="58D0053D"/>
    <w:rsid w:val="598C40A0"/>
    <w:rsid w:val="59DA647E"/>
    <w:rsid w:val="5A556E1A"/>
    <w:rsid w:val="5E494511"/>
    <w:rsid w:val="5EB44FC0"/>
    <w:rsid w:val="5FBA395F"/>
    <w:rsid w:val="635902CD"/>
    <w:rsid w:val="64706BBE"/>
    <w:rsid w:val="64F2095B"/>
    <w:rsid w:val="67A858DB"/>
    <w:rsid w:val="68C401C3"/>
    <w:rsid w:val="69A833BD"/>
    <w:rsid w:val="6D566F0F"/>
    <w:rsid w:val="6D836F72"/>
    <w:rsid w:val="6DDE3DAF"/>
    <w:rsid w:val="6E3241BE"/>
    <w:rsid w:val="6EB97A9D"/>
    <w:rsid w:val="6EF10A90"/>
    <w:rsid w:val="6FFF1868"/>
    <w:rsid w:val="715F4C2D"/>
    <w:rsid w:val="722F78FB"/>
    <w:rsid w:val="72BF60CA"/>
    <w:rsid w:val="733D0D32"/>
    <w:rsid w:val="73D411F1"/>
    <w:rsid w:val="753811DE"/>
    <w:rsid w:val="75BE67D4"/>
    <w:rsid w:val="75C2004C"/>
    <w:rsid w:val="75C759C1"/>
    <w:rsid w:val="762D64F3"/>
    <w:rsid w:val="775B4604"/>
    <w:rsid w:val="77C067C3"/>
    <w:rsid w:val="78911E31"/>
    <w:rsid w:val="792B5470"/>
    <w:rsid w:val="7A9367CB"/>
    <w:rsid w:val="7AF22571"/>
    <w:rsid w:val="7B69224B"/>
    <w:rsid w:val="7BE80F25"/>
    <w:rsid w:val="7C1C35A7"/>
    <w:rsid w:val="7C45431D"/>
    <w:rsid w:val="7D3219D5"/>
    <w:rsid w:val="7DDD0501"/>
    <w:rsid w:val="7DE51372"/>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2022-04-25T09:45:00Z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